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AD75" w14:textId="77777777" w:rsidR="00C439EF" w:rsidRDefault="00C439EF" w:rsidP="00555106">
      <w:pPr>
        <w:rPr>
          <w:b/>
          <w:bCs/>
        </w:rPr>
      </w:pPr>
    </w:p>
    <w:p w14:paraId="220C7960" w14:textId="486CC119" w:rsidR="00555106" w:rsidRPr="00BE5E3C" w:rsidRDefault="00BE5E3C" w:rsidP="00555106">
      <w:pPr>
        <w:rPr>
          <w:b/>
          <w:bCs/>
        </w:rPr>
      </w:pPr>
      <w:r w:rsidRPr="00BE5E3C">
        <w:rPr>
          <w:b/>
          <w:bCs/>
        </w:rPr>
        <w:t xml:space="preserve">FOR IMMEDIATE RELEASE </w:t>
      </w:r>
      <w:r w:rsidRPr="00BE5E3C">
        <w:rPr>
          <w:b/>
          <w:bCs/>
        </w:rPr>
        <w:tab/>
      </w:r>
      <w:r w:rsidRPr="00BE5E3C">
        <w:rPr>
          <w:b/>
          <w:bCs/>
        </w:rPr>
        <w:tab/>
      </w:r>
      <w:r w:rsidRPr="00BE5E3C">
        <w:rPr>
          <w:b/>
          <w:bCs/>
        </w:rPr>
        <w:tab/>
      </w:r>
      <w:r w:rsidRPr="00BE5E3C">
        <w:rPr>
          <w:b/>
          <w:bCs/>
        </w:rPr>
        <w:tab/>
      </w:r>
      <w:r w:rsidRPr="00BE5E3C">
        <w:rPr>
          <w:b/>
          <w:bCs/>
        </w:rPr>
        <w:tab/>
      </w:r>
      <w:r w:rsidRPr="00BE5E3C">
        <w:rPr>
          <w:b/>
          <w:bCs/>
        </w:rPr>
        <w:tab/>
      </w:r>
      <w:r w:rsidRPr="00BE5E3C">
        <w:rPr>
          <w:b/>
          <w:bCs/>
        </w:rPr>
        <w:tab/>
        <w:t>24 February 2022</w:t>
      </w:r>
    </w:p>
    <w:p w14:paraId="33F8248B" w14:textId="77777777" w:rsidR="00BE5E3C" w:rsidRDefault="00BE5E3C" w:rsidP="00555106">
      <w:pPr>
        <w:jc w:val="center"/>
        <w:rPr>
          <w:b/>
          <w:bCs/>
        </w:rPr>
      </w:pPr>
    </w:p>
    <w:p w14:paraId="53991817" w14:textId="111E1ED7" w:rsidR="00555106" w:rsidRPr="00BE5E3C" w:rsidRDefault="00BE5E3C" w:rsidP="00555106">
      <w:pPr>
        <w:jc w:val="center"/>
        <w:rPr>
          <w:b/>
          <w:bCs/>
          <w:sz w:val="28"/>
          <w:szCs w:val="28"/>
        </w:rPr>
      </w:pPr>
      <w:r w:rsidRPr="00BE5E3C">
        <w:rPr>
          <w:b/>
          <w:bCs/>
          <w:sz w:val="28"/>
          <w:szCs w:val="28"/>
        </w:rPr>
        <w:t>TH</w:t>
      </w:r>
      <w:r w:rsidR="009B5893">
        <w:rPr>
          <w:b/>
          <w:bCs/>
          <w:sz w:val="28"/>
          <w:szCs w:val="28"/>
        </w:rPr>
        <w:t>E</w:t>
      </w:r>
      <w:r w:rsidRPr="00BE5E3C">
        <w:rPr>
          <w:b/>
          <w:bCs/>
          <w:sz w:val="28"/>
          <w:szCs w:val="28"/>
        </w:rPr>
        <w:t xml:space="preserve"> TAX DEDUCTION </w:t>
      </w:r>
      <w:r w:rsidR="009B5893">
        <w:rPr>
          <w:b/>
          <w:bCs/>
          <w:sz w:val="28"/>
          <w:szCs w:val="28"/>
        </w:rPr>
        <w:t xml:space="preserve">THAT </w:t>
      </w:r>
      <w:r w:rsidRPr="00BE5E3C">
        <w:rPr>
          <w:b/>
          <w:bCs/>
          <w:sz w:val="28"/>
          <w:szCs w:val="28"/>
        </w:rPr>
        <w:t xml:space="preserve">LASTS A LIFETIME </w:t>
      </w:r>
    </w:p>
    <w:p w14:paraId="03FDFD9F" w14:textId="47267C7B" w:rsidR="00E5327B" w:rsidRDefault="00BE5E3C" w:rsidP="00F16476">
      <w:pPr>
        <w:rPr>
          <w:rFonts w:cstheme="minorHAnsi"/>
        </w:rPr>
      </w:pPr>
      <w:r>
        <w:rPr>
          <w:rFonts w:cstheme="minorHAnsi"/>
        </w:rPr>
        <w:br/>
      </w:r>
      <w:r w:rsidR="00E5327B" w:rsidRPr="006E4D66">
        <w:rPr>
          <w:rFonts w:cstheme="minorHAnsi"/>
        </w:rPr>
        <w:t xml:space="preserve">Many </w:t>
      </w:r>
      <w:r w:rsidR="00E5327B">
        <w:rPr>
          <w:rFonts w:cstheme="minorHAnsi"/>
        </w:rPr>
        <w:t>landlords</w:t>
      </w:r>
      <w:r w:rsidR="00E5327B" w:rsidRPr="006E4D66">
        <w:rPr>
          <w:rFonts w:cstheme="minorHAnsi"/>
        </w:rPr>
        <w:t xml:space="preserve"> </w:t>
      </w:r>
      <w:r w:rsidR="00E5327B">
        <w:rPr>
          <w:rFonts w:cstheme="minorHAnsi"/>
        </w:rPr>
        <w:t>are surprised to learn</w:t>
      </w:r>
      <w:r w:rsidR="00E5327B" w:rsidRPr="006E4D66">
        <w:rPr>
          <w:rFonts w:cstheme="minorHAnsi"/>
        </w:rPr>
        <w:t xml:space="preserve"> </w:t>
      </w:r>
      <w:r w:rsidR="00E5327B">
        <w:rPr>
          <w:rFonts w:cstheme="minorHAnsi"/>
        </w:rPr>
        <w:t>that they can claim depreciation as a tax deduction over the lifetime of their investment properties, according to BMT Tax Depreciation</w:t>
      </w:r>
      <w:r w:rsidR="00E5327B" w:rsidRPr="006E4D66">
        <w:rPr>
          <w:rFonts w:cstheme="minorHAnsi"/>
        </w:rPr>
        <w:t>.</w:t>
      </w:r>
    </w:p>
    <w:p w14:paraId="0A992814" w14:textId="1717A16F" w:rsidR="00F16476" w:rsidRDefault="00A00A75" w:rsidP="00F16476">
      <w:r>
        <w:t xml:space="preserve">Bradley Beer, </w:t>
      </w:r>
      <w:r w:rsidR="00F16476">
        <w:t>Chief Executive Officer of BMT Tax Depreciation, Australia’s leading supplier of tax depreciation schedules,</w:t>
      </w:r>
      <w:r w:rsidR="00F16476" w:rsidRPr="00F16476">
        <w:t xml:space="preserve"> </w:t>
      </w:r>
      <w:r w:rsidR="00F16476">
        <w:t>sa</w:t>
      </w:r>
      <w:r w:rsidR="00405E75">
        <w:t>id</w:t>
      </w:r>
      <w:r w:rsidR="00F16476">
        <w:t xml:space="preserve"> that</w:t>
      </w:r>
      <w:r w:rsidR="003A02E3">
        <w:t xml:space="preserve"> </w:t>
      </w:r>
      <w:r w:rsidR="00F16476">
        <w:t xml:space="preserve">landlords </w:t>
      </w:r>
      <w:r w:rsidR="0097030D">
        <w:t>are</w:t>
      </w:r>
      <w:r w:rsidR="00090FC1">
        <w:t xml:space="preserve"> </w:t>
      </w:r>
      <w:r w:rsidR="00F96DDE">
        <w:t>frequently</w:t>
      </w:r>
      <w:r w:rsidR="00045604">
        <w:t xml:space="preserve"> </w:t>
      </w:r>
      <w:r w:rsidR="00090FC1">
        <w:t xml:space="preserve">under the misapprehension that </w:t>
      </w:r>
      <w:r w:rsidR="00F16476">
        <w:t xml:space="preserve">they </w:t>
      </w:r>
      <w:r w:rsidR="00045604">
        <w:t>are unable to</w:t>
      </w:r>
      <w:r w:rsidR="0097030D">
        <w:t xml:space="preserve"> </w:t>
      </w:r>
      <w:r w:rsidR="00F16476">
        <w:t xml:space="preserve">claim depreciation at all. </w:t>
      </w:r>
    </w:p>
    <w:p w14:paraId="79265137" w14:textId="21C4CF97" w:rsidR="00F16476" w:rsidRDefault="00F16476" w:rsidP="00F16476">
      <w:r>
        <w:t>“</w:t>
      </w:r>
      <w:r w:rsidR="00DF6D46">
        <w:t xml:space="preserve">Every day we hear investors saying </w:t>
      </w:r>
      <w:r>
        <w:t xml:space="preserve">that they think their property is too old to </w:t>
      </w:r>
      <w:r w:rsidR="003F17AA">
        <w:t>carry</w:t>
      </w:r>
      <w:r>
        <w:t xml:space="preserve"> </w:t>
      </w:r>
      <w:r w:rsidR="00DF6D46">
        <w:t>depreciation</w:t>
      </w:r>
      <w:r>
        <w:t xml:space="preserve"> deductions. But </w:t>
      </w:r>
      <w:r w:rsidR="00405E75">
        <w:t>depreciation</w:t>
      </w:r>
      <w:r>
        <w:t xml:space="preserve"> </w:t>
      </w:r>
      <w:r w:rsidR="00740063">
        <w:t xml:space="preserve">is </w:t>
      </w:r>
      <w:r>
        <w:t xml:space="preserve">available </w:t>
      </w:r>
      <w:r w:rsidR="003053CC">
        <w:t>o</w:t>
      </w:r>
      <w:r>
        <w:t>n almost all investment properties</w:t>
      </w:r>
      <w:r w:rsidR="00326203">
        <w:t xml:space="preserve"> regardless of age</w:t>
      </w:r>
      <w:r w:rsidR="006E3E48">
        <w:t>,</w:t>
      </w:r>
      <w:r>
        <w:t>” said Bradley Beer.</w:t>
      </w:r>
    </w:p>
    <w:p w14:paraId="68D9068A" w14:textId="1A21875C" w:rsidR="00F16476" w:rsidRDefault="00F16476" w:rsidP="00F16476">
      <w:r>
        <w:t xml:space="preserve">There are two types of </w:t>
      </w:r>
      <w:r w:rsidR="00657E37">
        <w:t xml:space="preserve">depreciation </w:t>
      </w:r>
      <w:r>
        <w:t xml:space="preserve">deductions that can </w:t>
      </w:r>
      <w:r w:rsidR="00090FC1">
        <w:t xml:space="preserve">be </w:t>
      </w:r>
      <w:r>
        <w:t>claim</w:t>
      </w:r>
      <w:r w:rsidR="00090FC1">
        <w:t>ed</w:t>
      </w:r>
      <w:r>
        <w:t xml:space="preserve">. </w:t>
      </w:r>
      <w:r w:rsidR="00567CA4">
        <w:t>The first is on c</w:t>
      </w:r>
      <w:r>
        <w:t>apital works</w:t>
      </w:r>
      <w:r w:rsidR="00567CA4">
        <w:t>, a</w:t>
      </w:r>
      <w:r>
        <w:t xml:space="preserve"> property’s structure and permanently fixed </w:t>
      </w:r>
      <w:r w:rsidR="00567CA4">
        <w:t xml:space="preserve">items </w:t>
      </w:r>
      <w:r>
        <w:t xml:space="preserve">such as kitchen cupboards, doors and sinks. </w:t>
      </w:r>
      <w:r w:rsidR="00700513">
        <w:t xml:space="preserve">These </w:t>
      </w:r>
      <w:r w:rsidR="00740063">
        <w:t xml:space="preserve">can be claimed for up to 40 years depending on the type of </w:t>
      </w:r>
      <w:r w:rsidR="00700513">
        <w:t xml:space="preserve">construction </w:t>
      </w:r>
      <w:r w:rsidR="00740063">
        <w:t xml:space="preserve">and date construction commenced. </w:t>
      </w:r>
    </w:p>
    <w:p w14:paraId="169DE1CB" w14:textId="1352898D" w:rsidR="00740063" w:rsidRDefault="00740063" w:rsidP="00740063">
      <w:r>
        <w:t xml:space="preserve">“Capital works typically make up </w:t>
      </w:r>
      <w:r w:rsidR="00F93D62">
        <w:t xml:space="preserve">the bulk of a landlord’s total depreciation claim, generally </w:t>
      </w:r>
      <w:r>
        <w:t xml:space="preserve">85-90%,” said Bradley Beer. </w:t>
      </w:r>
    </w:p>
    <w:p w14:paraId="61392B8B" w14:textId="6AEFBE62" w:rsidR="008F1D3A" w:rsidRPr="00740063" w:rsidRDefault="008F1D3A" w:rsidP="008F1D3A">
      <w:r>
        <w:t xml:space="preserve">The second type of </w:t>
      </w:r>
      <w:r w:rsidR="00740063">
        <w:t>depreciation</w:t>
      </w:r>
      <w:r>
        <w:t xml:space="preserve"> deduction is on p</w:t>
      </w:r>
      <w:r w:rsidR="005337B9">
        <w:t>lant and equipment</w:t>
      </w:r>
      <w:r>
        <w:t xml:space="preserve">, the </w:t>
      </w:r>
      <w:r w:rsidR="00DC6F20">
        <w:t xml:space="preserve">easily removable </w:t>
      </w:r>
      <w:r>
        <w:t xml:space="preserve">items like carpet and blinds. </w:t>
      </w:r>
      <w:r w:rsidR="00AD279E" w:rsidRPr="00740063">
        <w:t xml:space="preserve">These assets have a limited effective life as set out by the </w:t>
      </w:r>
      <w:r w:rsidR="00740063">
        <w:t xml:space="preserve">Australian Taxation Office </w:t>
      </w:r>
      <w:r w:rsidR="005A36BA">
        <w:t xml:space="preserve">(ATO) </w:t>
      </w:r>
      <w:r w:rsidR="00AD279E" w:rsidRPr="00740063">
        <w:t>and can be depreciated over time. Investors can claim depreciation deductions for more than 6,000 different ATO recognised plant and equipment assets.</w:t>
      </w:r>
    </w:p>
    <w:p w14:paraId="01A256BC" w14:textId="77777777" w:rsidR="00A00A75" w:rsidRDefault="00AF1741" w:rsidP="008F1D3A">
      <w:r>
        <w:t xml:space="preserve">The </w:t>
      </w:r>
      <w:r w:rsidR="00E817C1">
        <w:t>catch</w:t>
      </w:r>
      <w:r w:rsidR="00825E71">
        <w:t xml:space="preserve">, </w:t>
      </w:r>
      <w:r w:rsidR="00E817C1">
        <w:t>Mr Beer</w:t>
      </w:r>
      <w:r w:rsidR="00825E71">
        <w:t xml:space="preserve"> said,</w:t>
      </w:r>
      <w:r>
        <w:t xml:space="preserve"> is that depreciation on </w:t>
      </w:r>
      <w:r w:rsidR="00825E71">
        <w:t>plant and equipment</w:t>
      </w:r>
      <w:r>
        <w:t xml:space="preserve"> assets c</w:t>
      </w:r>
      <w:r w:rsidR="008F1D3A">
        <w:t xml:space="preserve">an’t be claimed in second-hand properties unless </w:t>
      </w:r>
      <w:r w:rsidR="006D56CC">
        <w:t>an</w:t>
      </w:r>
      <w:r>
        <w:t xml:space="preserve"> asset </w:t>
      </w:r>
      <w:r w:rsidR="003D098D">
        <w:t>is brand</w:t>
      </w:r>
      <w:r>
        <w:t xml:space="preserve"> </w:t>
      </w:r>
      <w:r w:rsidR="003D098D">
        <w:t>new</w:t>
      </w:r>
      <w:r>
        <w:t>.</w:t>
      </w:r>
      <w:r w:rsidR="008F1D3A">
        <w:t xml:space="preserve"> </w:t>
      </w:r>
    </w:p>
    <w:p w14:paraId="0E2ABCC8" w14:textId="20996AF1" w:rsidR="008F1D3A" w:rsidRDefault="00E817C1" w:rsidP="008F1D3A">
      <w:r>
        <w:t xml:space="preserve">He </w:t>
      </w:r>
      <w:r w:rsidR="00E200DE">
        <w:t>went on</w:t>
      </w:r>
      <w:r>
        <w:t xml:space="preserve"> to say that</w:t>
      </w:r>
      <w:r w:rsidR="008E4DF2">
        <w:t xml:space="preserve"> </w:t>
      </w:r>
      <w:r w:rsidR="00823FC3">
        <w:t>any time an update is made to a property</w:t>
      </w:r>
      <w:r w:rsidR="008E4DF2">
        <w:t xml:space="preserve">, the landlord </w:t>
      </w:r>
      <w:r w:rsidR="00AF1741">
        <w:t xml:space="preserve">should contact </w:t>
      </w:r>
      <w:r w:rsidR="003603E8">
        <w:t>a</w:t>
      </w:r>
      <w:r w:rsidR="00AF1741">
        <w:t xml:space="preserve"> depreciation schedule provider. </w:t>
      </w:r>
    </w:p>
    <w:p w14:paraId="29FC8BE4" w14:textId="5C1FC62B" w:rsidR="00726568" w:rsidRDefault="00EF2241" w:rsidP="00726568">
      <w:r>
        <w:t xml:space="preserve">“We </w:t>
      </w:r>
      <w:r w:rsidR="00726568">
        <w:t xml:space="preserve">hear clients say all the time, </w:t>
      </w:r>
      <w:r>
        <w:t>‘</w:t>
      </w:r>
      <w:r w:rsidR="00726568">
        <w:t xml:space="preserve">I haven’t </w:t>
      </w:r>
      <w:r w:rsidR="001F55E3">
        <w:t>made</w:t>
      </w:r>
      <w:r w:rsidR="00726568">
        <w:t xml:space="preserve"> any major renovations so it’s probably not worth it</w:t>
      </w:r>
      <w:r>
        <w:t>’</w:t>
      </w:r>
      <w:r w:rsidR="008E4DF2">
        <w:t>,</w:t>
      </w:r>
      <w:r>
        <w:t>”</w:t>
      </w:r>
      <w:r w:rsidR="008E4DF2">
        <w:t xml:space="preserve"> he said.</w:t>
      </w:r>
      <w:r w:rsidR="00726568">
        <w:t xml:space="preserve"> </w:t>
      </w:r>
    </w:p>
    <w:p w14:paraId="67277455" w14:textId="3140CA0E" w:rsidR="00726568" w:rsidRDefault="00726568" w:rsidP="00726568">
      <w:r>
        <w:t>“</w:t>
      </w:r>
      <w:r w:rsidR="00EF2241">
        <w:t>But t</w:t>
      </w:r>
      <w:r w:rsidR="00687B8F">
        <w:t>here are definitely</w:t>
      </w:r>
      <w:r w:rsidR="00555106">
        <w:t xml:space="preserve"> </w:t>
      </w:r>
      <w:r w:rsidR="00687B8F">
        <w:t>opportunities</w:t>
      </w:r>
      <w:r w:rsidR="00555106">
        <w:t xml:space="preserve"> </w:t>
      </w:r>
      <w:r w:rsidR="00687B8F">
        <w:t xml:space="preserve">to claim </w:t>
      </w:r>
      <w:r w:rsidR="00555106">
        <w:t>that people don’t think abou</w:t>
      </w:r>
      <w:r w:rsidR="00EF2241">
        <w:t>t</w:t>
      </w:r>
      <w:r w:rsidR="000F017F">
        <w:t xml:space="preserve"> – </w:t>
      </w:r>
      <w:r w:rsidR="0098667A">
        <w:t xml:space="preserve">some of </w:t>
      </w:r>
      <w:r w:rsidR="000F017F">
        <w:t>t</w:t>
      </w:r>
      <w:r>
        <w:t xml:space="preserve">hose little things </w:t>
      </w:r>
      <w:r w:rsidR="00EF2241">
        <w:t xml:space="preserve">that </w:t>
      </w:r>
      <w:r>
        <w:t xml:space="preserve">you’re doing every </w:t>
      </w:r>
      <w:r w:rsidR="0099397A">
        <w:t>few</w:t>
      </w:r>
      <w:r>
        <w:t xml:space="preserve"> years</w:t>
      </w:r>
      <w:r w:rsidR="0098667A">
        <w:t xml:space="preserve"> can add up</w:t>
      </w:r>
      <w:r>
        <w:t>.</w:t>
      </w:r>
      <w:r w:rsidR="00EF2241">
        <w:t>”</w:t>
      </w:r>
    </w:p>
    <w:p w14:paraId="4643D676" w14:textId="6C7A1E5B" w:rsidR="00740063" w:rsidRDefault="00740063" w:rsidP="00740063">
      <w:r>
        <w:t>“</w:t>
      </w:r>
      <w:r w:rsidR="00EF2241">
        <w:t>It c</w:t>
      </w:r>
      <w:r w:rsidR="00555106">
        <w:t xml:space="preserve">ould be </w:t>
      </w:r>
      <w:r w:rsidR="00EF2241">
        <w:t xml:space="preserve">installing a </w:t>
      </w:r>
      <w:r w:rsidR="00555106">
        <w:t>new air con</w:t>
      </w:r>
      <w:r w:rsidR="00EF2241">
        <w:t>ditioner</w:t>
      </w:r>
      <w:r w:rsidR="00555106">
        <w:t>,</w:t>
      </w:r>
      <w:r w:rsidR="00EF2241">
        <w:t xml:space="preserve"> a</w:t>
      </w:r>
      <w:r w:rsidR="00555106">
        <w:t xml:space="preserve"> pathway</w:t>
      </w:r>
      <w:r w:rsidR="00EF2241">
        <w:t xml:space="preserve"> or a</w:t>
      </w:r>
      <w:r w:rsidR="00555106">
        <w:t xml:space="preserve"> garden shed</w:t>
      </w:r>
      <w:r>
        <w:t>.”</w:t>
      </w:r>
    </w:p>
    <w:p w14:paraId="20989AF5" w14:textId="645D4D67" w:rsidR="00345E82" w:rsidRDefault="00345E82" w:rsidP="00A06D09">
      <w:r>
        <w:t>Mr Beer said that i</w:t>
      </w:r>
      <w:r w:rsidR="00AF1741" w:rsidRPr="003550C2">
        <w:t xml:space="preserve">f a property was constructed </w:t>
      </w:r>
      <w:r w:rsidR="00AF1741">
        <w:t xml:space="preserve">decades </w:t>
      </w:r>
      <w:r w:rsidR="004853AB">
        <w:t>ago</w:t>
      </w:r>
      <w:r w:rsidR="004853AB" w:rsidRPr="003550C2">
        <w:t xml:space="preserve"> or</w:t>
      </w:r>
      <w:r w:rsidR="00AF1741">
        <w:t xml:space="preserve"> was purchased </w:t>
      </w:r>
      <w:r w:rsidR="00407BF0">
        <w:t xml:space="preserve">second-hand </w:t>
      </w:r>
      <w:r w:rsidR="00AF1741">
        <w:t xml:space="preserve">after legislation changes </w:t>
      </w:r>
      <w:r w:rsidR="004853AB">
        <w:t xml:space="preserve">came into play </w:t>
      </w:r>
      <w:r w:rsidR="00AF1741">
        <w:t xml:space="preserve">in </w:t>
      </w:r>
      <w:r w:rsidR="004853AB">
        <w:t xml:space="preserve">late </w:t>
      </w:r>
      <w:r w:rsidR="00AF1741">
        <w:t>2017,</w:t>
      </w:r>
      <w:r w:rsidR="00AF1741" w:rsidRPr="003550C2">
        <w:t xml:space="preserve"> it’s still important to get in touch with </w:t>
      </w:r>
      <w:r>
        <w:t>a tax depreciation s</w:t>
      </w:r>
      <w:r w:rsidR="00316DC5">
        <w:t xml:space="preserve">pecialist </w:t>
      </w:r>
      <w:r w:rsidR="00AF1741" w:rsidRPr="003550C2">
        <w:t xml:space="preserve">as often these buildings have undergone some form of renovation </w:t>
      </w:r>
      <w:r w:rsidR="00316DC5">
        <w:t>that</w:t>
      </w:r>
      <w:r w:rsidR="00AF1741" w:rsidRPr="003550C2">
        <w:t xml:space="preserve"> can result in </w:t>
      </w:r>
      <w:r w:rsidR="00AF1741">
        <w:t xml:space="preserve">both </w:t>
      </w:r>
      <w:r w:rsidR="00AF1741" w:rsidRPr="003550C2">
        <w:t xml:space="preserve">capital works </w:t>
      </w:r>
      <w:r w:rsidR="00AF1741">
        <w:t xml:space="preserve">and plant and equipment </w:t>
      </w:r>
      <w:r w:rsidR="00AF1741" w:rsidRPr="003550C2">
        <w:t>deductions for the owner</w:t>
      </w:r>
      <w:r>
        <w:t xml:space="preserve">. </w:t>
      </w:r>
    </w:p>
    <w:p w14:paraId="0637E632" w14:textId="1930F90E" w:rsidR="009D5755" w:rsidRDefault="009D5755" w:rsidP="009D5755">
      <w:r>
        <w:t xml:space="preserve">Mr Beer </w:t>
      </w:r>
      <w:r w:rsidR="00AC3939">
        <w:t>finished by saying</w:t>
      </w:r>
      <w:r>
        <w:t xml:space="preserve"> that investors who have not been claiming depreciation </w:t>
      </w:r>
      <w:r w:rsidR="00AC3939">
        <w:t>can</w:t>
      </w:r>
      <w:r>
        <w:t xml:space="preserve"> still claw back some missed dollars.</w:t>
      </w:r>
    </w:p>
    <w:p w14:paraId="2986B0F5" w14:textId="77777777" w:rsidR="009D5755" w:rsidRDefault="009D5755" w:rsidP="009D5755"/>
    <w:p w14:paraId="51B9D055" w14:textId="06CF49F5" w:rsidR="00407BF0" w:rsidRDefault="009D5755" w:rsidP="00A06D09">
      <w:r>
        <w:lastRenderedPageBreak/>
        <w:t xml:space="preserve">“It’s quite straight forward to amend two previous years’ tax returns with our schedules, but anything beyond this can get complex and come under tax commissioner scrutiny. So, it’s best to get on top of it early,” </w:t>
      </w:r>
      <w:r w:rsidR="00407BF0">
        <w:t xml:space="preserve">he concluded. </w:t>
      </w:r>
    </w:p>
    <w:p w14:paraId="0E032786" w14:textId="7366631E" w:rsidR="00740063" w:rsidRDefault="003A0EFE" w:rsidP="00AC3939">
      <w:pPr>
        <w:jc w:val="center"/>
      </w:pPr>
      <w:r>
        <w:t>*ENDS*</w:t>
      </w:r>
    </w:p>
    <w:p w14:paraId="39F55B80" w14:textId="14C42308" w:rsidR="00AB4B75" w:rsidRDefault="00AB4B75" w:rsidP="00AC3939">
      <w:pPr>
        <w:jc w:val="center"/>
      </w:pPr>
    </w:p>
    <w:p w14:paraId="4380A21A" w14:textId="29C76C06" w:rsidR="00AB4B75" w:rsidRDefault="00AB4B75" w:rsidP="00AB4B75">
      <w:r w:rsidRPr="00AB4B75">
        <w:rPr>
          <w:b/>
          <w:bCs/>
        </w:rPr>
        <w:t>Media contact:</w:t>
      </w:r>
      <w:r w:rsidRPr="00AB4B75">
        <w:t xml:space="preserve"> Lauren Howarth, 0448 507 979 or </w:t>
      </w:r>
      <w:hyperlink r:id="rId7" w:history="1">
        <w:r w:rsidRPr="00212ED4">
          <w:rPr>
            <w:rStyle w:val="Hyperlink"/>
          </w:rPr>
          <w:t>lauren.howarth@bmtqs.com.au</w:t>
        </w:r>
      </w:hyperlink>
      <w:r>
        <w:t xml:space="preserve"> </w:t>
      </w:r>
    </w:p>
    <w:sectPr w:rsidR="00AB4B75" w:rsidSect="004853AB">
      <w:headerReference w:type="default" r:id="rId8"/>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2DDE" w14:textId="77777777" w:rsidR="00C439EF" w:rsidRDefault="00C439EF" w:rsidP="00C439EF">
      <w:pPr>
        <w:spacing w:after="0" w:line="240" w:lineRule="auto"/>
      </w:pPr>
      <w:r>
        <w:separator/>
      </w:r>
    </w:p>
  </w:endnote>
  <w:endnote w:type="continuationSeparator" w:id="0">
    <w:p w14:paraId="209C9A4C" w14:textId="77777777" w:rsidR="00C439EF" w:rsidRDefault="00C439EF" w:rsidP="00C4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01D7" w14:textId="77777777" w:rsidR="00C439EF" w:rsidRDefault="00C439EF" w:rsidP="00C439EF">
      <w:pPr>
        <w:spacing w:after="0" w:line="240" w:lineRule="auto"/>
      </w:pPr>
      <w:r>
        <w:separator/>
      </w:r>
    </w:p>
  </w:footnote>
  <w:footnote w:type="continuationSeparator" w:id="0">
    <w:p w14:paraId="57A11512" w14:textId="77777777" w:rsidR="00C439EF" w:rsidRDefault="00C439EF" w:rsidP="00C43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550C" w14:textId="0F6E6F93" w:rsidR="00C439EF" w:rsidRDefault="00C439EF">
    <w:pPr>
      <w:pStyle w:val="Header"/>
    </w:pPr>
    <w:r>
      <w:rPr>
        <w:rFonts w:ascii="Century Gothic" w:hAnsi="Century Gothic"/>
        <w:noProof/>
      </w:rPr>
      <w:drawing>
        <wp:inline distT="0" distB="0" distL="0" distR="0" wp14:anchorId="1ABB178C" wp14:editId="168311BB">
          <wp:extent cx="1906562" cy="409575"/>
          <wp:effectExtent l="0" t="0" r="0" b="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BMT Tax Depreciation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980445" cy="4254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4005"/>
    <w:multiLevelType w:val="hybridMultilevel"/>
    <w:tmpl w:val="703635E8"/>
    <w:lvl w:ilvl="0" w:tplc="6D64138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06"/>
    <w:rsid w:val="00045604"/>
    <w:rsid w:val="0005031C"/>
    <w:rsid w:val="00090FC1"/>
    <w:rsid w:val="000F017F"/>
    <w:rsid w:val="001B408B"/>
    <w:rsid w:val="001C004A"/>
    <w:rsid w:val="001F55E3"/>
    <w:rsid w:val="00267BE5"/>
    <w:rsid w:val="003053CC"/>
    <w:rsid w:val="003138A5"/>
    <w:rsid w:val="00316DC5"/>
    <w:rsid w:val="00326203"/>
    <w:rsid w:val="00345E82"/>
    <w:rsid w:val="003550C2"/>
    <w:rsid w:val="003603E8"/>
    <w:rsid w:val="003A02E3"/>
    <w:rsid w:val="003A0EFE"/>
    <w:rsid w:val="003D098D"/>
    <w:rsid w:val="003F17AA"/>
    <w:rsid w:val="00405E75"/>
    <w:rsid w:val="00407BF0"/>
    <w:rsid w:val="00461715"/>
    <w:rsid w:val="004853AB"/>
    <w:rsid w:val="005337B9"/>
    <w:rsid w:val="00555106"/>
    <w:rsid w:val="00567CA4"/>
    <w:rsid w:val="005925F0"/>
    <w:rsid w:val="005A36BA"/>
    <w:rsid w:val="00650399"/>
    <w:rsid w:val="00657E37"/>
    <w:rsid w:val="00687B8F"/>
    <w:rsid w:val="006D56CC"/>
    <w:rsid w:val="006E3E48"/>
    <w:rsid w:val="00700513"/>
    <w:rsid w:val="00726568"/>
    <w:rsid w:val="00740063"/>
    <w:rsid w:val="00791AA5"/>
    <w:rsid w:val="007F7A51"/>
    <w:rsid w:val="00817550"/>
    <w:rsid w:val="00823FC3"/>
    <w:rsid w:val="00825E71"/>
    <w:rsid w:val="008A4BE6"/>
    <w:rsid w:val="008E4DF2"/>
    <w:rsid w:val="008F1D3A"/>
    <w:rsid w:val="0097030D"/>
    <w:rsid w:val="0098667A"/>
    <w:rsid w:val="0098790F"/>
    <w:rsid w:val="0099397A"/>
    <w:rsid w:val="009B5893"/>
    <w:rsid w:val="009C6531"/>
    <w:rsid w:val="009D5755"/>
    <w:rsid w:val="00A00A75"/>
    <w:rsid w:val="00A06D09"/>
    <w:rsid w:val="00A91CD1"/>
    <w:rsid w:val="00AB4B75"/>
    <w:rsid w:val="00AC3939"/>
    <w:rsid w:val="00AD279E"/>
    <w:rsid w:val="00AF1741"/>
    <w:rsid w:val="00BA4B26"/>
    <w:rsid w:val="00BE5E3C"/>
    <w:rsid w:val="00C439EF"/>
    <w:rsid w:val="00DC640B"/>
    <w:rsid w:val="00DC6F20"/>
    <w:rsid w:val="00DF6D46"/>
    <w:rsid w:val="00E200DE"/>
    <w:rsid w:val="00E5327B"/>
    <w:rsid w:val="00E817C1"/>
    <w:rsid w:val="00EF2241"/>
    <w:rsid w:val="00F16476"/>
    <w:rsid w:val="00F93D62"/>
    <w:rsid w:val="00F96DDE"/>
    <w:rsid w:val="00FB5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63B7"/>
  <w15:chartTrackingRefBased/>
  <w15:docId w15:val="{E01F48A0-C3FD-4D59-B8F6-87EE1330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9EF"/>
  </w:style>
  <w:style w:type="paragraph" w:styleId="Footer">
    <w:name w:val="footer"/>
    <w:basedOn w:val="Normal"/>
    <w:link w:val="FooterChar"/>
    <w:uiPriority w:val="99"/>
    <w:unhideWhenUsed/>
    <w:rsid w:val="00C4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9EF"/>
  </w:style>
  <w:style w:type="paragraph" w:styleId="ListParagraph">
    <w:name w:val="List Paragraph"/>
    <w:basedOn w:val="Normal"/>
    <w:uiPriority w:val="34"/>
    <w:qFormat/>
    <w:rsid w:val="003A0EFE"/>
    <w:pPr>
      <w:ind w:left="720"/>
      <w:contextualSpacing/>
    </w:pPr>
  </w:style>
  <w:style w:type="character" w:styleId="Hyperlink">
    <w:name w:val="Hyperlink"/>
    <w:basedOn w:val="DefaultParagraphFont"/>
    <w:uiPriority w:val="99"/>
    <w:unhideWhenUsed/>
    <w:rsid w:val="00AB4B75"/>
    <w:rPr>
      <w:color w:val="0563C1" w:themeColor="hyperlink"/>
      <w:u w:val="single"/>
    </w:rPr>
  </w:style>
  <w:style w:type="character" w:styleId="UnresolvedMention">
    <w:name w:val="Unresolved Mention"/>
    <w:basedOn w:val="DefaultParagraphFont"/>
    <w:uiPriority w:val="99"/>
    <w:semiHidden/>
    <w:unhideWhenUsed/>
    <w:rsid w:val="00AB4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uren.howarth@bmtq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Howarth</dc:creator>
  <cp:keywords/>
  <dc:description/>
  <cp:lastModifiedBy>Lauren Howarth</cp:lastModifiedBy>
  <cp:revision>62</cp:revision>
  <dcterms:created xsi:type="dcterms:W3CDTF">2022-02-21T22:33:00Z</dcterms:created>
  <dcterms:modified xsi:type="dcterms:W3CDTF">2022-02-23T06:16:00Z</dcterms:modified>
</cp:coreProperties>
</file>